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DC24A" w14:textId="2DED43C1" w:rsidR="00846D03" w:rsidRPr="002268A5" w:rsidRDefault="00846D03" w:rsidP="003B4266">
      <w:pPr>
        <w:tabs>
          <w:tab w:val="left" w:pos="495"/>
          <w:tab w:val="center" w:pos="4512"/>
        </w:tabs>
        <w:spacing w:after="48" w:line="259" w:lineRule="auto"/>
        <w:ind w:left="38" w:firstLine="0"/>
        <w:rPr>
          <w:b/>
          <w:color w:val="70AD47" w:themeColor="accent6"/>
          <w:szCs w:val="18"/>
        </w:rPr>
      </w:pPr>
    </w:p>
    <w:p w14:paraId="73AB2C30" w14:textId="75FCA909" w:rsidR="003B4266" w:rsidRPr="00AF5FC0" w:rsidRDefault="003B4266" w:rsidP="003B4266">
      <w:pPr>
        <w:tabs>
          <w:tab w:val="left" w:pos="495"/>
          <w:tab w:val="center" w:pos="4512"/>
        </w:tabs>
        <w:spacing w:after="48" w:line="259" w:lineRule="auto"/>
        <w:ind w:left="38" w:firstLine="0"/>
        <w:rPr>
          <w:b/>
          <w:color w:val="70AD47" w:themeColor="accent6"/>
          <w:sz w:val="36"/>
          <w:szCs w:val="36"/>
        </w:rPr>
      </w:pPr>
      <w:r w:rsidRPr="00AF5FC0">
        <w:rPr>
          <w:b/>
          <w:color w:val="70AD47" w:themeColor="accent6"/>
          <w:sz w:val="36"/>
          <w:szCs w:val="36"/>
        </w:rPr>
        <w:t xml:space="preserve">CAREERS </w:t>
      </w:r>
      <w:r>
        <w:rPr>
          <w:b/>
          <w:color w:val="70AD47" w:themeColor="accent6"/>
          <w:sz w:val="36"/>
          <w:szCs w:val="36"/>
        </w:rPr>
        <w:t>INFORMATION ADVICE &amp; GUIDANCE SERVICE</w:t>
      </w:r>
    </w:p>
    <w:p w14:paraId="08CB29E6" w14:textId="77777777" w:rsidR="003B4266" w:rsidRPr="002268A5" w:rsidRDefault="003B4266">
      <w:pPr>
        <w:spacing w:after="48" w:line="259" w:lineRule="auto"/>
        <w:ind w:left="38" w:firstLine="0"/>
        <w:rPr>
          <w:b/>
          <w:color w:val="70AD47" w:themeColor="accent6"/>
          <w:szCs w:val="18"/>
        </w:rPr>
      </w:pPr>
    </w:p>
    <w:p w14:paraId="340AE62F" w14:textId="7DFD1691" w:rsidR="005010AC" w:rsidRDefault="006E5E6C" w:rsidP="005010AC">
      <w:pPr>
        <w:spacing w:after="48" w:line="259" w:lineRule="auto"/>
        <w:ind w:left="38" w:firstLine="0"/>
        <w:rPr>
          <w:b/>
          <w:color w:val="70AD47" w:themeColor="accent6"/>
          <w:sz w:val="30"/>
        </w:rPr>
      </w:pPr>
      <w:r w:rsidRPr="00AF5FC0">
        <w:rPr>
          <w:b/>
          <w:color w:val="70AD47" w:themeColor="accent6"/>
          <w:sz w:val="30"/>
        </w:rPr>
        <w:t>Service Delivery Standards</w:t>
      </w:r>
    </w:p>
    <w:p w14:paraId="4A9C213F" w14:textId="77777777" w:rsidR="005010AC" w:rsidRPr="005010AC" w:rsidRDefault="005010AC" w:rsidP="005010AC">
      <w:pPr>
        <w:spacing w:after="48" w:line="259" w:lineRule="auto"/>
        <w:ind w:left="38" w:firstLine="0"/>
        <w:rPr>
          <w:b/>
          <w:color w:val="70AD47" w:themeColor="accent6"/>
        </w:rPr>
      </w:pPr>
    </w:p>
    <w:p w14:paraId="75ABA7F9" w14:textId="4B1F8446" w:rsidR="007126C5" w:rsidRPr="000915D1" w:rsidRDefault="006E5E6C">
      <w:pPr>
        <w:pStyle w:val="Heading1"/>
        <w:spacing w:after="166"/>
        <w:ind w:left="39" w:right="0"/>
        <w:rPr>
          <w:b/>
        </w:rPr>
      </w:pPr>
      <w:r w:rsidRPr="000915D1">
        <w:rPr>
          <w:b/>
          <w:sz w:val="18"/>
        </w:rPr>
        <w:t xml:space="preserve">College </w:t>
      </w:r>
      <w:r w:rsidR="002268A5">
        <w:rPr>
          <w:b/>
          <w:sz w:val="18"/>
        </w:rPr>
        <w:t xml:space="preserve">Vision and </w:t>
      </w:r>
      <w:r w:rsidR="00367E05">
        <w:rPr>
          <w:b/>
          <w:sz w:val="18"/>
        </w:rPr>
        <w:t>Mission</w:t>
      </w:r>
    </w:p>
    <w:p w14:paraId="27F5ED7D" w14:textId="1E8AD584" w:rsidR="002268A5" w:rsidRDefault="002268A5" w:rsidP="00367E05">
      <w:pPr>
        <w:spacing w:after="166" w:line="259" w:lineRule="auto"/>
        <w:ind w:left="39" w:right="5"/>
      </w:pPr>
      <w:r w:rsidRPr="002268A5">
        <w:t>Our vision is to be the technical and professional college of choice for Stoke-on-Trent and the surrounding area, enabling progression for all to a successful future, and being a trusted partner to employers, businesses, the community and our stakeholders. We will create successful futures through inspired teaching, learning and skills training</w:t>
      </w:r>
      <w:r>
        <w:t>.</w:t>
      </w:r>
    </w:p>
    <w:p w14:paraId="6EC44037" w14:textId="413316EB" w:rsidR="005010AC" w:rsidRDefault="002268A5" w:rsidP="00367E05">
      <w:pPr>
        <w:spacing w:after="166" w:line="259" w:lineRule="auto"/>
        <w:ind w:left="39" w:right="5"/>
      </w:pPr>
      <w:r>
        <w:t xml:space="preserve">Our Mission is: </w:t>
      </w:r>
      <w:r w:rsidR="005010AC" w:rsidRPr="005010AC">
        <w:t>Creating Successful Futures - achieve ambitious outcomes for all learners enabling them to positively progress.</w:t>
      </w:r>
    </w:p>
    <w:p w14:paraId="3101D210" w14:textId="46C0D550" w:rsidR="007126C5" w:rsidRPr="000915D1" w:rsidRDefault="006E5E6C" w:rsidP="00367E05">
      <w:pPr>
        <w:spacing w:after="166" w:line="259" w:lineRule="auto"/>
        <w:ind w:left="39" w:right="5"/>
        <w:rPr>
          <w:b/>
        </w:rPr>
      </w:pPr>
      <w:r w:rsidRPr="000915D1">
        <w:rPr>
          <w:b/>
          <w:u w:val="single" w:color="000000"/>
        </w:rPr>
        <w:t>Awareness</w:t>
      </w:r>
    </w:p>
    <w:p w14:paraId="2DE47AF8" w14:textId="77777777" w:rsidR="007126C5" w:rsidRDefault="006E5E6C">
      <w:pPr>
        <w:ind w:left="44" w:right="24"/>
      </w:pPr>
      <w:r>
        <w:t>IAG promotion materials will be clear and up to date.</w:t>
      </w:r>
    </w:p>
    <w:p w14:paraId="314E36B0" w14:textId="77777777" w:rsidR="007126C5" w:rsidRPr="000915D1" w:rsidRDefault="006E5E6C">
      <w:pPr>
        <w:pStyle w:val="Heading1"/>
        <w:spacing w:after="166"/>
        <w:ind w:left="39" w:right="34"/>
        <w:rPr>
          <w:b/>
        </w:rPr>
      </w:pPr>
      <w:r w:rsidRPr="000915D1">
        <w:rPr>
          <w:b/>
          <w:sz w:val="18"/>
        </w:rPr>
        <w:t>Accessible and Visible</w:t>
      </w:r>
    </w:p>
    <w:p w14:paraId="2094D96D" w14:textId="77777777" w:rsidR="007126C5" w:rsidRDefault="006E5E6C">
      <w:pPr>
        <w:spacing w:after="0"/>
        <w:ind w:left="44" w:right="34"/>
      </w:pPr>
      <w:r>
        <w:t xml:space="preserve">IAG services will be located in convenient 'front of house' locations to enable clients to access the right support when </w:t>
      </w:r>
      <w:r w:rsidRPr="000915D1">
        <w:t>they need it.</w:t>
      </w:r>
    </w:p>
    <w:p w14:paraId="0965FC20" w14:textId="77777777" w:rsidR="007126C5" w:rsidRPr="000915D1" w:rsidRDefault="006E5E6C">
      <w:pPr>
        <w:spacing w:after="138" w:line="259" w:lineRule="auto"/>
        <w:ind w:left="24" w:right="19"/>
        <w:rPr>
          <w:b/>
        </w:rPr>
      </w:pPr>
      <w:r w:rsidRPr="000915D1">
        <w:rPr>
          <w:b/>
          <w:sz w:val="20"/>
          <w:u w:val="single" w:color="000000"/>
        </w:rPr>
        <w:t>Availability. Quality and Delivery of IAG Services</w:t>
      </w:r>
    </w:p>
    <w:p w14:paraId="2885FCB7" w14:textId="77777777" w:rsidR="007126C5" w:rsidRDefault="006E5E6C">
      <w:pPr>
        <w:ind w:left="44" w:right="34"/>
      </w:pPr>
      <w:r>
        <w:t>IAG services will be targeted at the needs of the clients and be informed by social and economic priorities.</w:t>
      </w:r>
    </w:p>
    <w:p w14:paraId="373CCEF3" w14:textId="77777777" w:rsidR="007126C5" w:rsidRPr="000915D1" w:rsidRDefault="006E5E6C">
      <w:pPr>
        <w:spacing w:after="138" w:line="259" w:lineRule="auto"/>
        <w:ind w:left="24"/>
        <w:rPr>
          <w:b/>
        </w:rPr>
      </w:pPr>
      <w:r w:rsidRPr="000915D1">
        <w:rPr>
          <w:b/>
          <w:sz w:val="20"/>
          <w:u w:val="single" w:color="000000"/>
        </w:rPr>
        <w:t>Diversity</w:t>
      </w:r>
    </w:p>
    <w:p w14:paraId="32DC0B48" w14:textId="77777777" w:rsidR="007126C5" w:rsidRDefault="006E5E6C">
      <w:pPr>
        <w:ind w:left="44" w:right="24"/>
      </w:pPr>
      <w:r>
        <w:t xml:space="preserve">IAG services will be inclusive and </w:t>
      </w:r>
      <w:r w:rsidR="000915D1">
        <w:t>reflect the diversity of client</w:t>
      </w:r>
      <w:r>
        <w:t>s</w:t>
      </w:r>
      <w:r w:rsidR="000915D1">
        <w:t>’</w:t>
      </w:r>
      <w:r>
        <w:t xml:space="preserve"> needs.</w:t>
      </w:r>
    </w:p>
    <w:p w14:paraId="3EA99C2D" w14:textId="77777777" w:rsidR="007126C5" w:rsidRPr="000915D1" w:rsidRDefault="006E5E6C">
      <w:pPr>
        <w:pStyle w:val="Heading1"/>
        <w:ind w:left="24" w:right="14"/>
        <w:rPr>
          <w:b/>
        </w:rPr>
      </w:pPr>
      <w:r w:rsidRPr="000915D1">
        <w:rPr>
          <w:b/>
        </w:rPr>
        <w:t>Effective Links</w:t>
      </w:r>
    </w:p>
    <w:p w14:paraId="0BD94E15" w14:textId="77777777" w:rsidR="007126C5" w:rsidRDefault="006E5E6C">
      <w:pPr>
        <w:ind w:left="44" w:right="34"/>
      </w:pPr>
      <w:r>
        <w:t>Effective links between IAG services will be made clear from the client's perspective. Clients will be supported on their transition between services when appropriate.</w:t>
      </w:r>
    </w:p>
    <w:p w14:paraId="2A95260A" w14:textId="77777777" w:rsidR="007126C5" w:rsidRPr="000915D1" w:rsidRDefault="006E5E6C">
      <w:pPr>
        <w:pStyle w:val="Heading1"/>
        <w:ind w:left="24" w:right="14"/>
        <w:rPr>
          <w:b/>
        </w:rPr>
      </w:pPr>
      <w:r w:rsidRPr="000915D1">
        <w:rPr>
          <w:b/>
        </w:rPr>
        <w:t>Enabling</w:t>
      </w:r>
    </w:p>
    <w:p w14:paraId="36E12021" w14:textId="77777777" w:rsidR="007126C5" w:rsidRDefault="006E5E6C">
      <w:pPr>
        <w:ind w:left="44" w:right="34"/>
      </w:pPr>
      <w:r>
        <w:t xml:space="preserve">IAG services will support clients to become lifelong learners by helping them </w:t>
      </w:r>
      <w:r w:rsidR="00CF7C02">
        <w:t xml:space="preserve">to </w:t>
      </w:r>
      <w:r>
        <w:t>access and use information to plan their next steps.</w:t>
      </w:r>
    </w:p>
    <w:p w14:paraId="759A6B4D" w14:textId="77777777" w:rsidR="007126C5" w:rsidRPr="00CF7C02" w:rsidRDefault="006E5E6C">
      <w:pPr>
        <w:spacing w:after="138" w:line="259" w:lineRule="auto"/>
        <w:ind w:left="24" w:right="19"/>
        <w:rPr>
          <w:b/>
        </w:rPr>
      </w:pPr>
      <w:r w:rsidRPr="00CF7C02">
        <w:rPr>
          <w:b/>
          <w:sz w:val="20"/>
          <w:u w:val="single" w:color="000000"/>
        </w:rPr>
        <w:t>Impartial</w:t>
      </w:r>
    </w:p>
    <w:p w14:paraId="40135698" w14:textId="77777777" w:rsidR="007126C5" w:rsidRDefault="006E5E6C">
      <w:pPr>
        <w:spacing w:after="162"/>
        <w:ind w:left="44" w:right="34"/>
      </w:pPr>
      <w:r>
        <w:t>IAG services will be impartial and will be centred on the needs of the client.</w:t>
      </w:r>
    </w:p>
    <w:p w14:paraId="40EDD52B" w14:textId="77777777" w:rsidR="007126C5" w:rsidRPr="00CF7C02" w:rsidRDefault="006E5E6C">
      <w:pPr>
        <w:pStyle w:val="Heading1"/>
        <w:ind w:left="24" w:right="14"/>
        <w:rPr>
          <w:b/>
        </w:rPr>
      </w:pPr>
      <w:r w:rsidRPr="00CF7C02">
        <w:rPr>
          <w:b/>
        </w:rPr>
        <w:t>Friendly and Welcoming</w:t>
      </w:r>
    </w:p>
    <w:p w14:paraId="7F17A530" w14:textId="77777777" w:rsidR="007126C5" w:rsidRDefault="006E5E6C">
      <w:pPr>
        <w:ind w:left="44" w:right="34"/>
      </w:pPr>
      <w:r>
        <w:t>We will provide a safe, friendly and welcoming environment, which is free from prejudice and encourages clients to engage positively with the service.</w:t>
      </w:r>
    </w:p>
    <w:p w14:paraId="49292915" w14:textId="77777777" w:rsidR="007126C5" w:rsidRPr="00CF7C02" w:rsidRDefault="006E5E6C">
      <w:pPr>
        <w:pStyle w:val="Heading1"/>
        <w:ind w:left="24" w:right="19"/>
        <w:rPr>
          <w:b/>
        </w:rPr>
      </w:pPr>
      <w:r w:rsidRPr="00CF7C02">
        <w:rPr>
          <w:b/>
        </w:rPr>
        <w:t>Professional and Knowledgeable</w:t>
      </w:r>
    </w:p>
    <w:p w14:paraId="4B19F434" w14:textId="77777777" w:rsidR="007126C5" w:rsidRDefault="006E5E6C">
      <w:pPr>
        <w:spacing w:after="162"/>
        <w:ind w:left="44" w:right="29"/>
      </w:pPr>
      <w:r>
        <w:t>Staff delivering IAG services will have the skills and knowledge to identify quickly and effectively the client's needs. They will have the skills and knowledge either to address the client's needs or to signpost or refer them to suitable alternative provision.</w:t>
      </w:r>
    </w:p>
    <w:p w14:paraId="3DBA461C" w14:textId="77777777" w:rsidR="007126C5" w:rsidRPr="00CF7C02" w:rsidRDefault="006E5E6C">
      <w:pPr>
        <w:pStyle w:val="Heading1"/>
        <w:ind w:left="24" w:right="14"/>
        <w:rPr>
          <w:b/>
        </w:rPr>
      </w:pPr>
      <w:r w:rsidRPr="00CF7C02">
        <w:rPr>
          <w:b/>
        </w:rPr>
        <w:t>Responsive</w:t>
      </w:r>
    </w:p>
    <w:p w14:paraId="2E206422" w14:textId="77777777" w:rsidR="007126C5" w:rsidRDefault="006E5E6C">
      <w:pPr>
        <w:ind w:left="44" w:right="38"/>
      </w:pPr>
      <w:r>
        <w:t>IAG services will reflect clients</w:t>
      </w:r>
      <w:r w:rsidR="00CC1496">
        <w:t>’</w:t>
      </w:r>
      <w:r>
        <w:t xml:space="preserve"> present and future needs.</w:t>
      </w:r>
    </w:p>
    <w:sectPr w:rsidR="007126C5" w:rsidSect="00E373D0">
      <w:headerReference w:type="default" r:id="rId9"/>
      <w:pgSz w:w="11900" w:h="16820"/>
      <w:pgMar w:top="1440" w:right="1469" w:bottom="1440" w:left="1445" w:header="720" w:footer="720" w:gutter="0"/>
      <w:pgBorders w:offsetFrom="page">
        <w:top w:val="single" w:sz="36" w:space="24" w:color="70AD47" w:themeColor="accent6"/>
        <w:left w:val="single" w:sz="36" w:space="24" w:color="70AD47" w:themeColor="accent6"/>
        <w:bottom w:val="single" w:sz="36" w:space="24" w:color="70AD47" w:themeColor="accent6"/>
        <w:right w:val="single" w:sz="36" w:space="24" w:color="70AD47" w:themeColor="accent6"/>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187C1" w14:textId="77777777" w:rsidR="00FD60C7" w:rsidRDefault="00FD60C7" w:rsidP="00846D03">
      <w:pPr>
        <w:spacing w:after="0" w:line="240" w:lineRule="auto"/>
      </w:pPr>
      <w:r>
        <w:separator/>
      </w:r>
    </w:p>
  </w:endnote>
  <w:endnote w:type="continuationSeparator" w:id="0">
    <w:p w14:paraId="24602849" w14:textId="77777777" w:rsidR="00FD60C7" w:rsidRDefault="00FD60C7" w:rsidP="00846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1A78E" w14:textId="77777777" w:rsidR="00FD60C7" w:rsidRDefault="00FD60C7" w:rsidP="00846D03">
      <w:pPr>
        <w:spacing w:after="0" w:line="240" w:lineRule="auto"/>
      </w:pPr>
      <w:r>
        <w:separator/>
      </w:r>
    </w:p>
  </w:footnote>
  <w:footnote w:type="continuationSeparator" w:id="0">
    <w:p w14:paraId="184D3E0B" w14:textId="77777777" w:rsidR="00FD60C7" w:rsidRDefault="00FD60C7" w:rsidP="00846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58907" w14:textId="198F1052" w:rsidR="00846D03" w:rsidRDefault="00846D03" w:rsidP="00846D03">
    <w:pPr>
      <w:pStyle w:val="Header"/>
      <w:ind w:left="0" w:firstLine="0"/>
    </w:pPr>
    <w:r>
      <w:rPr>
        <w:b/>
        <w:noProof/>
        <w:color w:val="70AD47" w:themeColor="accent6"/>
        <w:sz w:val="36"/>
        <w:szCs w:val="36"/>
      </w:rPr>
      <w:drawing>
        <wp:inline distT="0" distB="0" distL="0" distR="0" wp14:anchorId="4CC0268B" wp14:editId="02938448">
          <wp:extent cx="1800000" cy="1036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00000" cy="10366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6C5"/>
    <w:rsid w:val="000915D1"/>
    <w:rsid w:val="002268A5"/>
    <w:rsid w:val="00367E05"/>
    <w:rsid w:val="003B4266"/>
    <w:rsid w:val="005010AC"/>
    <w:rsid w:val="00697EBF"/>
    <w:rsid w:val="006E5E6C"/>
    <w:rsid w:val="006E6E60"/>
    <w:rsid w:val="007126C5"/>
    <w:rsid w:val="00846D03"/>
    <w:rsid w:val="00A15605"/>
    <w:rsid w:val="00AF5FC0"/>
    <w:rsid w:val="00B264D2"/>
    <w:rsid w:val="00CC1496"/>
    <w:rsid w:val="00CF7C02"/>
    <w:rsid w:val="00E373D0"/>
    <w:rsid w:val="00FD6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9576A"/>
  <w15:docId w15:val="{24909A5F-33A2-4A37-B6FC-A5FC2965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0" w:line="260" w:lineRule="auto"/>
      <w:ind w:left="3721" w:hanging="10"/>
      <w:jc w:val="center"/>
    </w:pPr>
    <w:rPr>
      <w:rFonts w:ascii="Calibri" w:eastAsia="Calibri" w:hAnsi="Calibri" w:cs="Calibri"/>
      <w:color w:val="000000"/>
      <w:sz w:val="18"/>
    </w:rPr>
  </w:style>
  <w:style w:type="paragraph" w:styleId="Heading1">
    <w:name w:val="heading 1"/>
    <w:next w:val="Normal"/>
    <w:link w:val="Heading1Char"/>
    <w:uiPriority w:val="9"/>
    <w:unhideWhenUsed/>
    <w:qFormat/>
    <w:pPr>
      <w:keepNext/>
      <w:keepLines/>
      <w:spacing w:after="138"/>
      <w:ind w:left="10" w:right="5" w:hanging="10"/>
      <w:jc w:val="center"/>
      <w:outlineLvl w:val="0"/>
    </w:pPr>
    <w:rPr>
      <w:rFonts w:ascii="Calibri" w:eastAsia="Calibri" w:hAnsi="Calibri" w:cs="Calibri"/>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0"/>
      <w:u w:val="single" w:color="000000"/>
    </w:rPr>
  </w:style>
  <w:style w:type="paragraph" w:styleId="Header">
    <w:name w:val="header"/>
    <w:basedOn w:val="Normal"/>
    <w:link w:val="HeaderChar"/>
    <w:uiPriority w:val="99"/>
    <w:unhideWhenUsed/>
    <w:rsid w:val="00846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D03"/>
    <w:rPr>
      <w:rFonts w:ascii="Calibri" w:eastAsia="Calibri" w:hAnsi="Calibri" w:cs="Calibri"/>
      <w:color w:val="000000"/>
      <w:sz w:val="18"/>
    </w:rPr>
  </w:style>
  <w:style w:type="paragraph" w:styleId="Footer">
    <w:name w:val="footer"/>
    <w:basedOn w:val="Normal"/>
    <w:link w:val="FooterChar"/>
    <w:uiPriority w:val="99"/>
    <w:unhideWhenUsed/>
    <w:rsid w:val="00846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D03"/>
    <w:rPr>
      <w:rFonts w:ascii="Calibri" w:eastAsia="Calibri" w:hAnsi="Calibri" w:cs="Calibri"/>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224ee6-8ae8-4be9-8e9c-16f1299684ee">
      <Terms xmlns="http://schemas.microsoft.com/office/infopath/2007/PartnerControls"/>
    </lcf76f155ced4ddcb4097134ff3c332f>
    <TaxCatchAll xmlns="2e72e79d-1f71-4a0d-9414-5c7e1bffd17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33CD90EB9ECE4DA85CCD6D0CB5DDE6" ma:contentTypeVersion="18" ma:contentTypeDescription="Create a new document." ma:contentTypeScope="" ma:versionID="d2ad3940b5f2f56f7ef2029ba5e20120">
  <xsd:schema xmlns:xsd="http://www.w3.org/2001/XMLSchema" xmlns:xs="http://www.w3.org/2001/XMLSchema" xmlns:p="http://schemas.microsoft.com/office/2006/metadata/properties" xmlns:ns2="d2224ee6-8ae8-4be9-8e9c-16f1299684ee" xmlns:ns3="2e72e79d-1f71-4a0d-9414-5c7e1bffd170" targetNamespace="http://schemas.microsoft.com/office/2006/metadata/properties" ma:root="true" ma:fieldsID="cf41a20127bad9beb4c6311923f75c6f" ns2:_="" ns3:_="">
    <xsd:import namespace="d2224ee6-8ae8-4be9-8e9c-16f1299684ee"/>
    <xsd:import namespace="2e72e79d-1f71-4a0d-9414-5c7e1bffd1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24ee6-8ae8-4be9-8e9c-16f129968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0c0ae3-3121-4f99-8007-05d47047bb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72e79d-1f71-4a0d-9414-5c7e1bffd1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596207-c29a-46a6-b7d1-f99408e3c89e}" ma:internalName="TaxCatchAll" ma:showField="CatchAllData" ma:web="2e72e79d-1f71-4a0d-9414-5c7e1bffd1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935759-6D8B-4881-B247-017332DECFCB}">
  <ds:schemaRefs>
    <ds:schemaRef ds:uri="http://schemas.microsoft.com/office/2006/metadata/properties"/>
    <ds:schemaRef ds:uri="http://schemas.microsoft.com/office/infopath/2007/PartnerControls"/>
    <ds:schemaRef ds:uri="d2224ee6-8ae8-4be9-8e9c-16f1299684ee"/>
    <ds:schemaRef ds:uri="2e72e79d-1f71-4a0d-9414-5c7e1bffd170"/>
  </ds:schemaRefs>
</ds:datastoreItem>
</file>

<file path=customXml/itemProps2.xml><?xml version="1.0" encoding="utf-8"?>
<ds:datastoreItem xmlns:ds="http://schemas.openxmlformats.org/officeDocument/2006/customXml" ds:itemID="{DEEF17BF-55E9-400C-9ABC-6D58FBF429D1}">
  <ds:schemaRefs>
    <ds:schemaRef ds:uri="http://schemas.microsoft.com/sharepoint/v3/contenttype/forms"/>
  </ds:schemaRefs>
</ds:datastoreItem>
</file>

<file path=customXml/itemProps3.xml><?xml version="1.0" encoding="utf-8"?>
<ds:datastoreItem xmlns:ds="http://schemas.openxmlformats.org/officeDocument/2006/customXml" ds:itemID="{C46901E7-AD8D-4BDD-A53A-BF42F9B94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24ee6-8ae8-4be9-8e9c-16f1299684ee"/>
    <ds:schemaRef ds:uri="2e72e79d-1f71-4a0d-9414-5c7e1bffd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SAdmissions18103009440</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SAdmissions18103009440</dc:title>
  <dc:subject/>
  <dc:creator>jdunn1sc@stokecoll.ac.uk</dc:creator>
  <cp:keywords/>
  <cp:lastModifiedBy>Chrissy Pawliszyn</cp:lastModifiedBy>
  <cp:revision>2</cp:revision>
  <dcterms:created xsi:type="dcterms:W3CDTF">2024-11-26T10:57:00Z</dcterms:created>
  <dcterms:modified xsi:type="dcterms:W3CDTF">2024-11-26T10:57:00Z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-1317557602</vt:i4>
  </property>
  <property fmtid="{D5CDD505-2E9C-101B-9397-08002B2CF9AE}" pid="3" name="_AdHocReviewCycleID">
    <vt:i4>1560436370</vt:i4>
  </property>
  <property fmtid="{D5CDD505-2E9C-101B-9397-08002B2CF9AE}" pid="4" name="_NewReviewCycle">
    <vt:lpwstr/>
  </property>
  <property fmtid="{D5CDD505-2E9C-101B-9397-08002B2CF9AE}" pid="5" name="_EmailSubject">
    <vt:lpwstr>website-Careers</vt:lpwstr>
  </property>
  <property fmtid="{D5CDD505-2E9C-101B-9397-08002B2CF9AE}" pid="6" name="_AuthorEmail">
    <vt:lpwstr>jdunn1sc@stokecoll.ac.uk</vt:lpwstr>
  </property>
  <property fmtid="{D5CDD505-2E9C-101B-9397-08002B2CF9AE}" pid="7" name="_AuthorEmailDisplayName">
    <vt:lpwstr>Dunning, Jane</vt:lpwstr>
  </property>
  <property fmtid="{D5CDD505-2E9C-101B-9397-08002B2CF9AE}" pid="8" name="_ReviewingToolsShownOnce">
    <vt:lpwstr/>
  </property>
  <property fmtid="{D5CDD505-2E9C-101B-9397-08002B2CF9AE}" pid="9" name="ContentTypeId">
    <vt:lpwstr>0x0101006033CD90EB9ECE4DA85CCD6D0CB5DDE6</vt:lpwstr>
  </property>
</Properties>
</file>